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F606CB" w:rsidRDefault="00F606CB" w:rsidP="00F606CB">
      <w:pPr>
        <w:pStyle w:val="Sansinterligne"/>
        <w:jc w:val="center"/>
        <w:rPr>
          <w:rFonts w:ascii="Tahoma" w:hAnsi="Tahoma" w:cs="Tahoma"/>
          <w:b/>
          <w:sz w:val="28"/>
        </w:rPr>
      </w:pPr>
      <w:r w:rsidRPr="00F606CB">
        <w:rPr>
          <w:rFonts w:ascii="Tahoma" w:hAnsi="Tahoma" w:cs="Tahoma"/>
          <w:b/>
          <w:sz w:val="28"/>
        </w:rPr>
        <w:t>ANRS CO19 COVERTE</w:t>
      </w:r>
    </w:p>
    <w:p w:rsidR="00000000" w:rsidRPr="00F606CB" w:rsidRDefault="00F606CB" w:rsidP="00F606CB">
      <w:pPr>
        <w:pStyle w:val="Sansinterligne"/>
        <w:jc w:val="center"/>
        <w:rPr>
          <w:rFonts w:ascii="Tahoma" w:hAnsi="Tahoma" w:cs="Tahoma"/>
          <w:b/>
          <w:sz w:val="28"/>
        </w:rPr>
      </w:pPr>
      <w:r w:rsidRPr="00F606CB">
        <w:rPr>
          <w:rFonts w:ascii="Tahoma" w:hAnsi="Tahoma" w:cs="Tahoma"/>
          <w:b/>
          <w:sz w:val="28"/>
        </w:rPr>
        <w:br/>
        <w:t>Cohorte d’adultes infectés par le VIH par voie verticale ou pendant l’enfance</w:t>
      </w:r>
    </w:p>
    <w:p w:rsidR="00F606CB" w:rsidRDefault="00F606CB" w:rsidP="00F606CB">
      <w:pPr>
        <w:pStyle w:val="Sansinterligne"/>
        <w:rPr>
          <w:rFonts w:ascii="Tahoma" w:hAnsi="Tahoma" w:cs="Tahoma"/>
          <w:sz w:val="24"/>
        </w:rPr>
      </w:pPr>
    </w:p>
    <w:p w:rsidR="00F606CB" w:rsidRDefault="00F606CB" w:rsidP="00F606CB">
      <w:pPr>
        <w:pStyle w:val="Sansinterligne"/>
        <w:jc w:val="both"/>
        <w:rPr>
          <w:rFonts w:ascii="Tahoma" w:hAnsi="Tahoma" w:cs="Tahoma"/>
          <w:sz w:val="24"/>
        </w:rPr>
      </w:pPr>
      <w:r w:rsidRPr="00F606CB">
        <w:rPr>
          <w:rFonts w:ascii="Tahoma" w:hAnsi="Tahoma" w:cs="Tahoma"/>
          <w:sz w:val="24"/>
        </w:rPr>
        <w:br/>
        <w:t>Nombre</w:t>
      </w:r>
      <w:r>
        <w:rPr>
          <w:rFonts w:ascii="Tahoma" w:hAnsi="Tahoma" w:cs="Tahoma"/>
          <w:sz w:val="24"/>
        </w:rPr>
        <w:t xml:space="preserve"> de sujets inclus/attendus /400</w:t>
      </w:r>
    </w:p>
    <w:p w:rsidR="00F606CB" w:rsidRDefault="00F606CB" w:rsidP="00F606CB">
      <w:pPr>
        <w:pStyle w:val="Sansinterligne"/>
        <w:jc w:val="both"/>
        <w:rPr>
          <w:rFonts w:ascii="Tahoma" w:hAnsi="Tahoma" w:cs="Tahoma"/>
          <w:sz w:val="24"/>
        </w:rPr>
      </w:pPr>
      <w:r w:rsidRPr="00F606CB">
        <w:rPr>
          <w:rFonts w:ascii="Tahoma" w:hAnsi="Tahoma" w:cs="Tahoma"/>
          <w:sz w:val="24"/>
        </w:rPr>
        <w:t>Début et durée des inclusions 2n</w:t>
      </w:r>
      <w:r>
        <w:rPr>
          <w:rFonts w:ascii="Tahoma" w:hAnsi="Tahoma" w:cs="Tahoma"/>
          <w:sz w:val="24"/>
        </w:rPr>
        <w:t>d semestre 2009 – 3 ans minimum</w:t>
      </w:r>
    </w:p>
    <w:p w:rsidR="00F606CB" w:rsidRDefault="00F606CB" w:rsidP="00F606CB">
      <w:pPr>
        <w:pStyle w:val="Sansinterligne"/>
        <w:jc w:val="both"/>
        <w:rPr>
          <w:rFonts w:ascii="Tahoma" w:hAnsi="Tahoma" w:cs="Tahoma"/>
          <w:sz w:val="24"/>
        </w:rPr>
      </w:pPr>
      <w:r w:rsidRPr="00F606CB">
        <w:rPr>
          <w:rFonts w:ascii="Tahoma" w:hAnsi="Tahoma" w:cs="Tahoma"/>
          <w:sz w:val="24"/>
        </w:rPr>
        <w:t>Situation Mise e</w:t>
      </w:r>
      <w:r>
        <w:rPr>
          <w:rFonts w:ascii="Tahoma" w:hAnsi="Tahoma" w:cs="Tahoma"/>
          <w:sz w:val="24"/>
        </w:rPr>
        <w:t>n place</w:t>
      </w:r>
    </w:p>
    <w:p w:rsidR="00F606CB" w:rsidRDefault="00F606CB" w:rsidP="00F606CB">
      <w:pPr>
        <w:pStyle w:val="Sansinterligne"/>
        <w:jc w:val="both"/>
        <w:rPr>
          <w:rFonts w:ascii="Tahoma" w:hAnsi="Tahoma" w:cs="Tahoma"/>
          <w:b/>
          <w:sz w:val="24"/>
        </w:rPr>
      </w:pPr>
      <w:r>
        <w:rPr>
          <w:rFonts w:ascii="Tahoma" w:hAnsi="Tahoma" w:cs="Tahoma"/>
          <w:sz w:val="24"/>
        </w:rPr>
        <w:br/>
      </w:r>
      <w:r w:rsidRPr="00F606CB">
        <w:rPr>
          <w:rFonts w:ascii="Tahoma" w:hAnsi="Tahoma" w:cs="Tahoma"/>
          <w:b/>
          <w:sz w:val="24"/>
        </w:rPr>
        <w:t>Équipe de coordination</w:t>
      </w:r>
    </w:p>
    <w:p w:rsidR="00F606CB" w:rsidRDefault="00F606CB" w:rsidP="00F606CB">
      <w:pPr>
        <w:pStyle w:val="Sansinterligne"/>
        <w:ind w:firstLine="708"/>
        <w:jc w:val="both"/>
        <w:rPr>
          <w:rFonts w:ascii="Tahoma" w:hAnsi="Tahoma" w:cs="Tahoma"/>
          <w:sz w:val="24"/>
        </w:rPr>
      </w:pPr>
      <w:r w:rsidRPr="00F606CB">
        <w:rPr>
          <w:rFonts w:ascii="Tahoma" w:hAnsi="Tahoma" w:cs="Tahoma"/>
          <w:sz w:val="24"/>
        </w:rPr>
        <w:t xml:space="preserve">Investigateur coordonnateur J </w:t>
      </w:r>
      <w:proofErr w:type="spellStart"/>
      <w:r w:rsidRPr="00F606CB">
        <w:rPr>
          <w:rFonts w:ascii="Tahoma" w:hAnsi="Tahoma" w:cs="Tahoma"/>
          <w:sz w:val="24"/>
        </w:rPr>
        <w:t>Warszawski</w:t>
      </w:r>
      <w:proofErr w:type="spellEnd"/>
      <w:r w:rsidRPr="00F606CB">
        <w:rPr>
          <w:rFonts w:ascii="Tahoma" w:hAnsi="Tahoma" w:cs="Tahoma"/>
          <w:sz w:val="24"/>
        </w:rPr>
        <w:t xml:space="preserve"> (Inserm U822)</w:t>
      </w:r>
    </w:p>
    <w:p w:rsidR="00F606CB" w:rsidRDefault="00F606CB" w:rsidP="00F606CB">
      <w:pPr>
        <w:pStyle w:val="Sansinterligne"/>
        <w:ind w:firstLine="708"/>
        <w:jc w:val="both"/>
        <w:rPr>
          <w:rFonts w:ascii="Tahoma" w:hAnsi="Tahoma" w:cs="Tahoma"/>
          <w:sz w:val="24"/>
        </w:rPr>
      </w:pPr>
      <w:r w:rsidRPr="00F606CB">
        <w:rPr>
          <w:rFonts w:ascii="Tahoma" w:hAnsi="Tahoma" w:cs="Tahoma"/>
          <w:sz w:val="24"/>
        </w:rPr>
        <w:t>Co-investigateur JP Viard (</w:t>
      </w:r>
      <w:proofErr w:type="spellStart"/>
      <w:r w:rsidRPr="00F606CB">
        <w:rPr>
          <w:rFonts w:ascii="Tahoma" w:hAnsi="Tahoma" w:cs="Tahoma"/>
          <w:sz w:val="24"/>
        </w:rPr>
        <w:t>Hôp</w:t>
      </w:r>
      <w:proofErr w:type="spellEnd"/>
      <w:r>
        <w:rPr>
          <w:rFonts w:ascii="Tahoma" w:hAnsi="Tahoma" w:cs="Tahoma"/>
          <w:sz w:val="24"/>
        </w:rPr>
        <w:t xml:space="preserve"> Necker-Enfants Malades, Paris)</w:t>
      </w:r>
    </w:p>
    <w:p w:rsidR="00F606CB" w:rsidRDefault="00F606CB" w:rsidP="00F606CB">
      <w:pPr>
        <w:pStyle w:val="Sansinterligne"/>
        <w:ind w:firstLine="708"/>
        <w:jc w:val="both"/>
        <w:rPr>
          <w:rFonts w:ascii="Tahoma" w:hAnsi="Tahoma" w:cs="Tahoma"/>
          <w:sz w:val="24"/>
        </w:rPr>
      </w:pPr>
      <w:r w:rsidRPr="00F606CB">
        <w:rPr>
          <w:rFonts w:ascii="Tahoma" w:hAnsi="Tahoma" w:cs="Tahoma"/>
          <w:sz w:val="24"/>
        </w:rPr>
        <w:t>Coordination méthodologique N Briand (Inserm U822)</w:t>
      </w:r>
    </w:p>
    <w:p w:rsidR="00F606CB" w:rsidRDefault="00F606CB" w:rsidP="00F606CB">
      <w:pPr>
        <w:pStyle w:val="Sansinterligne"/>
        <w:ind w:firstLine="708"/>
        <w:jc w:val="both"/>
        <w:rPr>
          <w:rFonts w:ascii="Tahoma" w:hAnsi="Tahoma" w:cs="Tahoma"/>
          <w:sz w:val="24"/>
        </w:rPr>
      </w:pPr>
      <w:r w:rsidRPr="00F606CB">
        <w:rPr>
          <w:rFonts w:ascii="Tahoma" w:hAnsi="Tahoma" w:cs="Tahoma"/>
          <w:sz w:val="24"/>
        </w:rPr>
        <w:br/>
      </w:r>
      <w:r w:rsidRPr="00F606CB">
        <w:rPr>
          <w:rFonts w:ascii="Tahoma" w:hAnsi="Tahoma" w:cs="Tahoma"/>
          <w:b/>
          <w:sz w:val="24"/>
        </w:rPr>
        <w:t>Promoteur</w:t>
      </w:r>
      <w:r w:rsidRPr="00F606CB">
        <w:rPr>
          <w:rFonts w:ascii="Tahoma" w:hAnsi="Tahoma" w:cs="Tahoma"/>
          <w:sz w:val="24"/>
        </w:rPr>
        <w:t xml:space="preserve"> ANRS</w:t>
      </w:r>
    </w:p>
    <w:p w:rsidR="00F606CB" w:rsidRDefault="00F606CB" w:rsidP="00F606CB">
      <w:pPr>
        <w:pStyle w:val="Sansinterligne"/>
        <w:ind w:firstLine="708"/>
        <w:jc w:val="both"/>
        <w:rPr>
          <w:rFonts w:ascii="Tahoma" w:hAnsi="Tahoma" w:cs="Tahoma"/>
          <w:sz w:val="24"/>
        </w:rPr>
      </w:pPr>
      <w:r w:rsidRPr="00F606CB">
        <w:rPr>
          <w:rFonts w:ascii="Tahoma" w:hAnsi="Tahoma" w:cs="Tahoma"/>
          <w:sz w:val="24"/>
        </w:rPr>
        <w:br/>
      </w:r>
      <w:r w:rsidRPr="00F606CB">
        <w:rPr>
          <w:rFonts w:ascii="Tahoma" w:hAnsi="Tahoma" w:cs="Tahoma"/>
          <w:b/>
          <w:sz w:val="24"/>
        </w:rPr>
        <w:t>Objectif Principal</w:t>
      </w:r>
      <w:r w:rsidRPr="00F606CB">
        <w:rPr>
          <w:rFonts w:ascii="Tahoma" w:hAnsi="Tahoma" w:cs="Tahoma"/>
          <w:sz w:val="24"/>
        </w:rPr>
        <w:t xml:space="preserve"> : Etudier la transition vers l’âge adulte et le devenir à long terme des jeunes infectés pendant l’enfance, principalement par voie périnatale, par le VIH-1 ou VIH-2. Ces sujets constituent une population émergente, peu décrite, dont le jeune âge contraste avec une longue histoire clinique et thérapeutique.</w:t>
      </w:r>
      <w:r w:rsidRPr="00F606CB">
        <w:rPr>
          <w:rFonts w:ascii="Tahoma" w:hAnsi="Tahoma" w:cs="Tahoma"/>
          <w:sz w:val="24"/>
        </w:rPr>
        <w:br/>
      </w:r>
      <w:r w:rsidRPr="00F606CB">
        <w:rPr>
          <w:rFonts w:ascii="Tahoma" w:hAnsi="Tahoma" w:cs="Tahoma"/>
          <w:sz w:val="24"/>
        </w:rPr>
        <w:br/>
      </w:r>
      <w:r w:rsidRPr="00F606CB">
        <w:rPr>
          <w:rFonts w:ascii="Tahoma" w:hAnsi="Tahoma" w:cs="Tahoma"/>
          <w:b/>
          <w:sz w:val="24"/>
        </w:rPr>
        <w:t>Secondaires</w:t>
      </w:r>
      <w:r w:rsidRPr="00F606CB">
        <w:rPr>
          <w:rFonts w:ascii="Tahoma" w:hAnsi="Tahoma" w:cs="Tahoma"/>
          <w:sz w:val="24"/>
        </w:rPr>
        <w:t xml:space="preserve"> : Etudier la transition vers l’âge adulte et ses répercussions sur le statut </w:t>
      </w:r>
      <w:proofErr w:type="spellStart"/>
      <w:r w:rsidRPr="00F606CB">
        <w:rPr>
          <w:rFonts w:ascii="Tahoma" w:hAnsi="Tahoma" w:cs="Tahoma"/>
          <w:sz w:val="24"/>
        </w:rPr>
        <w:t>immunovirologique</w:t>
      </w:r>
      <w:proofErr w:type="spellEnd"/>
      <w:r w:rsidRPr="00F606CB">
        <w:rPr>
          <w:rFonts w:ascii="Tahoma" w:hAnsi="Tahoma" w:cs="Tahoma"/>
          <w:sz w:val="24"/>
        </w:rPr>
        <w:t xml:space="preserve"> et clinique du point de vue de l’insertion scolaire et professionnelle, de l’entrée dans la sexualité et la vie reproductive, des conditions du passage d’un service pédiatrique vers un service de médecine d’adultes ; étudier les marqueurs d’un possible vieillissement accéléré d’un point de vue métabolique (en particulier les marqueurs d’</w:t>
      </w:r>
      <w:proofErr w:type="spellStart"/>
      <w:r w:rsidRPr="00F606CB">
        <w:rPr>
          <w:rFonts w:ascii="Tahoma" w:hAnsi="Tahoma" w:cs="Tahoma"/>
          <w:sz w:val="24"/>
        </w:rPr>
        <w:t>insulino</w:t>
      </w:r>
      <w:proofErr w:type="spellEnd"/>
      <w:r w:rsidRPr="00F606CB">
        <w:rPr>
          <w:rFonts w:ascii="Tahoma" w:hAnsi="Tahoma" w:cs="Tahoma"/>
          <w:sz w:val="24"/>
        </w:rPr>
        <w:t xml:space="preserve">-résistance, d’homéostasie </w:t>
      </w:r>
      <w:proofErr w:type="spellStart"/>
      <w:r w:rsidRPr="00F606CB">
        <w:rPr>
          <w:rFonts w:ascii="Tahoma" w:hAnsi="Tahoma" w:cs="Tahoma"/>
          <w:sz w:val="24"/>
        </w:rPr>
        <w:t>glucido</w:t>
      </w:r>
      <w:proofErr w:type="spellEnd"/>
      <w:r w:rsidRPr="00F606CB">
        <w:rPr>
          <w:rFonts w:ascii="Tahoma" w:hAnsi="Tahoma" w:cs="Tahoma"/>
          <w:sz w:val="24"/>
        </w:rPr>
        <w:t>-lipidique) cardiovasculaire (notamment en termes d’athérosclérose et de rigidité aortique) et immunologique (</w:t>
      </w:r>
      <w:proofErr w:type="spellStart"/>
      <w:r w:rsidRPr="00F606CB">
        <w:rPr>
          <w:rFonts w:ascii="Tahoma" w:hAnsi="Tahoma" w:cs="Tahoma"/>
          <w:sz w:val="24"/>
        </w:rPr>
        <w:t>phénotypage</w:t>
      </w:r>
      <w:proofErr w:type="spellEnd"/>
      <w:r w:rsidRPr="00F606CB">
        <w:rPr>
          <w:rFonts w:ascii="Tahoma" w:hAnsi="Tahoma" w:cs="Tahoma"/>
          <w:sz w:val="24"/>
        </w:rPr>
        <w:t xml:space="preserve"> lymphocytaire) ; étudier l’incidence, l’expression et la réversibilité d’évènements indésirables et leur lien avec les différentes stratégies thérapeutiques ; étudier le pronostic à moyen et à long terme, la morbidité selon l’âge et le stade de l’infection au moment de l’initiation des traitements et selon l’histoire thérapeutique.</w:t>
      </w:r>
      <w:r w:rsidRPr="00F606CB">
        <w:rPr>
          <w:rFonts w:ascii="Tahoma" w:hAnsi="Tahoma" w:cs="Tahoma"/>
          <w:sz w:val="24"/>
        </w:rPr>
        <w:br/>
      </w:r>
      <w:r w:rsidRPr="00F606CB">
        <w:rPr>
          <w:rFonts w:ascii="Tahoma" w:hAnsi="Tahoma" w:cs="Tahoma"/>
          <w:b/>
          <w:sz w:val="24"/>
        </w:rPr>
        <w:br/>
        <w:t>Méthodologie</w:t>
      </w:r>
      <w:r w:rsidRPr="00F606CB">
        <w:rPr>
          <w:rFonts w:ascii="Tahoma" w:hAnsi="Tahoma" w:cs="Tahoma"/>
          <w:sz w:val="24"/>
        </w:rPr>
        <w:t xml:space="preserve"> Cohorte prospective, multicentrique</w:t>
      </w:r>
    </w:p>
    <w:p w:rsidR="00F606CB" w:rsidRDefault="00F606CB" w:rsidP="00F606CB">
      <w:pPr>
        <w:pStyle w:val="Sansinterligne"/>
        <w:ind w:firstLine="708"/>
        <w:jc w:val="both"/>
        <w:rPr>
          <w:rFonts w:ascii="Tahoma" w:hAnsi="Tahoma" w:cs="Tahoma"/>
          <w:sz w:val="24"/>
        </w:rPr>
      </w:pPr>
      <w:r w:rsidRPr="00F606CB">
        <w:rPr>
          <w:rFonts w:ascii="Tahoma" w:hAnsi="Tahoma" w:cs="Tahoma"/>
          <w:sz w:val="24"/>
        </w:rPr>
        <w:br/>
      </w:r>
      <w:r w:rsidRPr="00F606CB">
        <w:rPr>
          <w:rFonts w:ascii="Tahoma" w:hAnsi="Tahoma" w:cs="Tahoma"/>
          <w:b/>
          <w:sz w:val="24"/>
        </w:rPr>
        <w:t>Principaux critères d'inclusion</w:t>
      </w:r>
      <w:r w:rsidRPr="00F606CB">
        <w:rPr>
          <w:rFonts w:ascii="Tahoma" w:hAnsi="Tahoma" w:cs="Tahoma"/>
          <w:sz w:val="24"/>
        </w:rPr>
        <w:t xml:space="preserve"> Tout patient suivi dans un service de pédiatrie ou de médecine d’adultes, âgé de 18 à 25 ans au moment de l’inclusion ; diagnostic de VIH-1 et/ou VIH-2 documenté avant l’âge de 13 ans ; consentement éclairé et signé.</w:t>
      </w:r>
      <w:r w:rsidRPr="00F606CB">
        <w:rPr>
          <w:rFonts w:ascii="Tahoma" w:hAnsi="Tahoma" w:cs="Tahoma"/>
          <w:sz w:val="24"/>
        </w:rPr>
        <w:br/>
      </w:r>
      <w:r w:rsidRPr="00F606CB">
        <w:rPr>
          <w:rFonts w:ascii="Tahoma" w:hAnsi="Tahoma" w:cs="Tahoma"/>
          <w:sz w:val="24"/>
        </w:rPr>
        <w:br/>
      </w:r>
      <w:r w:rsidRPr="00F606CB">
        <w:rPr>
          <w:rFonts w:ascii="Tahoma" w:hAnsi="Tahoma" w:cs="Tahoma"/>
          <w:b/>
          <w:sz w:val="24"/>
        </w:rPr>
        <w:t>Modalités du suivi</w:t>
      </w:r>
      <w:r w:rsidRPr="00F606CB">
        <w:rPr>
          <w:rFonts w:ascii="Tahoma" w:hAnsi="Tahoma" w:cs="Tahoma"/>
          <w:sz w:val="24"/>
        </w:rPr>
        <w:t xml:space="preserve"> Inclusion et suivi annuel de 3 à 6 ans selon la date</w:t>
      </w:r>
      <w:r>
        <w:rPr>
          <w:rFonts w:ascii="Tahoma" w:hAnsi="Tahoma" w:cs="Tahoma"/>
          <w:sz w:val="24"/>
        </w:rPr>
        <w:t xml:space="preserve"> d’inclusion.</w:t>
      </w:r>
      <w:r>
        <w:rPr>
          <w:rFonts w:ascii="Tahoma" w:hAnsi="Tahoma" w:cs="Tahoma"/>
          <w:sz w:val="24"/>
        </w:rPr>
        <w:br/>
      </w:r>
      <w:r w:rsidRPr="00F606CB">
        <w:rPr>
          <w:rFonts w:ascii="Tahoma" w:hAnsi="Tahoma" w:cs="Tahoma"/>
          <w:sz w:val="24"/>
        </w:rPr>
        <w:t xml:space="preserve">Pour les patients inclus dans le module </w:t>
      </w:r>
      <w:proofErr w:type="spellStart"/>
      <w:r w:rsidRPr="00F606CB">
        <w:rPr>
          <w:rFonts w:ascii="Tahoma" w:hAnsi="Tahoma" w:cs="Tahoma"/>
          <w:sz w:val="24"/>
        </w:rPr>
        <w:t>cardiométabolique</w:t>
      </w:r>
      <w:proofErr w:type="spellEnd"/>
      <w:r w:rsidRPr="00F606CB">
        <w:rPr>
          <w:rFonts w:ascii="Tahoma" w:hAnsi="Tahoma" w:cs="Tahoma"/>
          <w:sz w:val="24"/>
        </w:rPr>
        <w:t xml:space="preserve"> (sujets infectés et volontaires sains), des examens spécifiques sont prévus à l’inclusion et après 3 ans de suivi.</w:t>
      </w:r>
      <w:r w:rsidRPr="00F606CB">
        <w:rPr>
          <w:rFonts w:ascii="Tahoma" w:hAnsi="Tahoma" w:cs="Tahoma"/>
          <w:sz w:val="24"/>
        </w:rPr>
        <w:br/>
      </w:r>
    </w:p>
    <w:p w:rsidR="00F606CB" w:rsidRDefault="00F606CB" w:rsidP="00F606CB">
      <w:pPr>
        <w:pStyle w:val="Sansinterligne"/>
        <w:ind w:firstLine="708"/>
        <w:jc w:val="both"/>
        <w:rPr>
          <w:rFonts w:ascii="Tahoma" w:hAnsi="Tahoma" w:cs="Tahoma"/>
          <w:sz w:val="24"/>
        </w:rPr>
      </w:pPr>
    </w:p>
    <w:p w:rsidR="00F606CB" w:rsidRDefault="00F606CB" w:rsidP="00F606CB">
      <w:pPr>
        <w:pStyle w:val="Sansinterligne"/>
        <w:ind w:firstLine="708"/>
        <w:jc w:val="both"/>
        <w:rPr>
          <w:rFonts w:ascii="Tahoma" w:hAnsi="Tahoma" w:cs="Tahoma"/>
          <w:sz w:val="24"/>
        </w:rPr>
      </w:pPr>
      <w:bookmarkStart w:id="0" w:name="_GoBack"/>
      <w:bookmarkEnd w:id="0"/>
    </w:p>
    <w:p w:rsidR="00F606CB" w:rsidRDefault="00F606CB" w:rsidP="00F606CB">
      <w:pPr>
        <w:pStyle w:val="Sansinterligne"/>
        <w:jc w:val="both"/>
        <w:rPr>
          <w:rFonts w:ascii="Tahoma" w:hAnsi="Tahoma" w:cs="Tahoma"/>
          <w:b/>
          <w:sz w:val="24"/>
        </w:rPr>
      </w:pPr>
      <w:r w:rsidRPr="00F606CB">
        <w:rPr>
          <w:rFonts w:ascii="Tahoma" w:hAnsi="Tahoma" w:cs="Tahoma"/>
          <w:b/>
          <w:sz w:val="24"/>
        </w:rPr>
        <w:lastRenderedPageBreak/>
        <w:t xml:space="preserve">Informations collectées Cliniques et biologiques. </w:t>
      </w:r>
    </w:p>
    <w:p w:rsidR="00F606CB" w:rsidRPr="00F606CB" w:rsidRDefault="00F606CB" w:rsidP="00F606CB">
      <w:pPr>
        <w:pStyle w:val="Sansinterligne"/>
        <w:jc w:val="both"/>
        <w:rPr>
          <w:rFonts w:ascii="Tahoma" w:hAnsi="Tahoma" w:cs="Tahoma"/>
          <w:b/>
          <w:sz w:val="24"/>
        </w:rPr>
      </w:pPr>
      <w:r w:rsidRPr="00F606CB">
        <w:rPr>
          <w:rFonts w:ascii="Tahoma" w:hAnsi="Tahoma" w:cs="Tahoma"/>
          <w:sz w:val="24"/>
        </w:rPr>
        <w:t>Examens biologiques métaboliques et immunologiques, HGPO, imagerie, explorations cardiovasculaires.</w:t>
      </w:r>
      <w:r w:rsidRPr="00F606CB">
        <w:rPr>
          <w:rFonts w:ascii="Tahoma" w:hAnsi="Tahoma" w:cs="Tahoma"/>
          <w:sz w:val="24"/>
        </w:rPr>
        <w:br/>
      </w:r>
      <w:r w:rsidRPr="00F606CB">
        <w:rPr>
          <w:rFonts w:ascii="Tahoma" w:hAnsi="Tahoma" w:cs="Tahoma"/>
          <w:sz w:val="24"/>
        </w:rPr>
        <w:br/>
      </w:r>
      <w:r w:rsidRPr="00F606CB">
        <w:rPr>
          <w:rFonts w:ascii="Tahoma" w:hAnsi="Tahoma" w:cs="Tahoma"/>
          <w:b/>
          <w:sz w:val="24"/>
        </w:rPr>
        <w:t>Autres</w:t>
      </w:r>
      <w:r w:rsidRPr="00F606CB">
        <w:rPr>
          <w:rFonts w:ascii="Tahoma" w:hAnsi="Tahoma" w:cs="Tahoma"/>
          <w:sz w:val="24"/>
        </w:rPr>
        <w:t xml:space="preserve"> : questionnaires médicaux, auto-questionnaires.</w:t>
      </w:r>
    </w:p>
    <w:p w:rsidR="00F606CB" w:rsidRDefault="00F606CB" w:rsidP="00F606CB">
      <w:pPr>
        <w:pStyle w:val="Sansinterligne"/>
        <w:jc w:val="both"/>
        <w:rPr>
          <w:rFonts w:ascii="Tahoma" w:hAnsi="Tahoma" w:cs="Tahoma"/>
          <w:sz w:val="24"/>
        </w:rPr>
      </w:pPr>
      <w:r>
        <w:rPr>
          <w:rFonts w:ascii="Tahoma" w:hAnsi="Tahoma" w:cs="Tahoma"/>
          <w:sz w:val="24"/>
        </w:rPr>
        <w:br/>
      </w:r>
      <w:r w:rsidRPr="00F606CB">
        <w:rPr>
          <w:rFonts w:ascii="Tahoma" w:hAnsi="Tahoma" w:cs="Tahoma"/>
          <w:b/>
          <w:sz w:val="24"/>
        </w:rPr>
        <w:t>Pour information</w:t>
      </w:r>
      <w:r>
        <w:rPr>
          <w:rFonts w:ascii="Tahoma" w:hAnsi="Tahoma" w:cs="Tahoma"/>
          <w:sz w:val="24"/>
        </w:rPr>
        <w:t> :</w:t>
      </w:r>
      <w:r w:rsidRPr="00F606CB">
        <w:rPr>
          <w:rFonts w:ascii="Tahoma" w:hAnsi="Tahoma" w:cs="Tahoma"/>
          <w:sz w:val="24"/>
        </w:rPr>
        <w:t xml:space="preserve"> Dr Josiane </w:t>
      </w:r>
      <w:proofErr w:type="spellStart"/>
      <w:r w:rsidRPr="00F606CB">
        <w:rPr>
          <w:rFonts w:ascii="Tahoma" w:hAnsi="Tahoma" w:cs="Tahoma"/>
          <w:sz w:val="24"/>
        </w:rPr>
        <w:t>Warszawski</w:t>
      </w:r>
      <w:proofErr w:type="spellEnd"/>
      <w:r w:rsidRPr="00F606CB">
        <w:rPr>
          <w:rFonts w:ascii="Tahoma" w:hAnsi="Tahoma" w:cs="Tahoma"/>
          <w:sz w:val="24"/>
        </w:rPr>
        <w:t xml:space="preserve"> Nelly BRIAND</w:t>
      </w:r>
      <w:r>
        <w:rPr>
          <w:rFonts w:ascii="Tahoma" w:hAnsi="Tahoma" w:cs="Tahoma"/>
          <w:sz w:val="24"/>
        </w:rPr>
        <w:t xml:space="preserve"> </w:t>
      </w:r>
      <w:r w:rsidRPr="00F606CB">
        <w:rPr>
          <w:rFonts w:ascii="Tahoma" w:hAnsi="Tahoma" w:cs="Tahoma"/>
          <w:sz w:val="24"/>
        </w:rPr>
        <w:t>Inserm-U822</w:t>
      </w:r>
      <w:r>
        <w:rPr>
          <w:rFonts w:ascii="Tahoma" w:hAnsi="Tahoma" w:cs="Tahoma"/>
          <w:sz w:val="24"/>
        </w:rPr>
        <w:t xml:space="preserve"> </w:t>
      </w:r>
    </w:p>
    <w:p w:rsidR="00F606CB" w:rsidRDefault="00F606CB" w:rsidP="00F606CB">
      <w:pPr>
        <w:pStyle w:val="Sansinterligne"/>
        <w:jc w:val="both"/>
        <w:rPr>
          <w:rFonts w:ascii="Tahoma" w:hAnsi="Tahoma" w:cs="Tahoma"/>
          <w:sz w:val="24"/>
        </w:rPr>
      </w:pPr>
      <w:r w:rsidRPr="00F606CB">
        <w:rPr>
          <w:rFonts w:ascii="Tahoma" w:hAnsi="Tahoma" w:cs="Tahoma"/>
          <w:sz w:val="24"/>
        </w:rPr>
        <w:t>CHU Kremlin Bicêtre CHU Kremlin Bicêtre</w:t>
      </w:r>
    </w:p>
    <w:p w:rsidR="00F606CB" w:rsidRDefault="00F606CB" w:rsidP="00F606CB">
      <w:pPr>
        <w:pStyle w:val="Sansinterligne"/>
        <w:jc w:val="both"/>
        <w:rPr>
          <w:rFonts w:ascii="Tahoma" w:hAnsi="Tahoma" w:cs="Tahoma"/>
          <w:sz w:val="24"/>
        </w:rPr>
      </w:pPr>
      <w:r w:rsidRPr="00F606CB">
        <w:rPr>
          <w:rFonts w:ascii="Tahoma" w:hAnsi="Tahoma" w:cs="Tahoma"/>
          <w:sz w:val="24"/>
        </w:rPr>
        <w:t xml:space="preserve">94276 le Kremlin Bicêtre cedex </w:t>
      </w:r>
    </w:p>
    <w:p w:rsidR="00F606CB" w:rsidRDefault="00F606CB" w:rsidP="00F606CB">
      <w:pPr>
        <w:pStyle w:val="Sansinterligne"/>
        <w:jc w:val="both"/>
        <w:rPr>
          <w:rFonts w:ascii="Tahoma" w:hAnsi="Tahoma" w:cs="Tahoma"/>
          <w:sz w:val="24"/>
        </w:rPr>
      </w:pPr>
      <w:r>
        <w:rPr>
          <w:rFonts w:ascii="Tahoma" w:hAnsi="Tahoma" w:cs="Tahoma"/>
          <w:sz w:val="24"/>
        </w:rPr>
        <w:t xml:space="preserve">Tél: 01 45 21 22 86 </w:t>
      </w:r>
    </w:p>
    <w:p w:rsidR="00F606CB" w:rsidRDefault="00F606CB" w:rsidP="00F606CB">
      <w:pPr>
        <w:pStyle w:val="Sansinterligne"/>
        <w:jc w:val="both"/>
        <w:rPr>
          <w:rFonts w:ascii="Tahoma" w:hAnsi="Tahoma" w:cs="Tahoma"/>
          <w:sz w:val="24"/>
        </w:rPr>
      </w:pPr>
      <w:r w:rsidRPr="00F606CB">
        <w:rPr>
          <w:rFonts w:ascii="Tahoma" w:hAnsi="Tahoma" w:cs="Tahoma"/>
          <w:sz w:val="24"/>
        </w:rPr>
        <w:t xml:space="preserve">Fax: 01 45 21 20 75 </w:t>
      </w:r>
    </w:p>
    <w:p w:rsidR="0036061D" w:rsidRPr="00F606CB" w:rsidRDefault="00F606CB" w:rsidP="00F606CB">
      <w:pPr>
        <w:pStyle w:val="Sansinterligne"/>
        <w:jc w:val="both"/>
        <w:rPr>
          <w:rFonts w:ascii="Tahoma" w:hAnsi="Tahoma" w:cs="Tahoma"/>
          <w:sz w:val="24"/>
        </w:rPr>
      </w:pPr>
      <w:r w:rsidRPr="00F606CB">
        <w:rPr>
          <w:rFonts w:ascii="Tahoma" w:hAnsi="Tahoma" w:cs="Tahoma"/>
          <w:sz w:val="24"/>
        </w:rPr>
        <w:t>warszaws@vjf.inserm.fr nelly.briand@inserm.fr</w:t>
      </w:r>
    </w:p>
    <w:sectPr w:rsidR="0036061D" w:rsidRPr="00F60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583F"/>
    <w:multiLevelType w:val="hybridMultilevel"/>
    <w:tmpl w:val="6D28FCA4"/>
    <w:lvl w:ilvl="0" w:tplc="C8E8F560">
      <w:start w:val="1"/>
      <w:numFmt w:val="bullet"/>
      <w:lvlText w:val="•"/>
      <w:lvlJc w:val="left"/>
      <w:pPr>
        <w:tabs>
          <w:tab w:val="num" w:pos="720"/>
        </w:tabs>
        <w:ind w:left="720" w:hanging="360"/>
      </w:pPr>
      <w:rPr>
        <w:rFonts w:ascii="Arial" w:hAnsi="Arial" w:hint="default"/>
      </w:rPr>
    </w:lvl>
    <w:lvl w:ilvl="1" w:tplc="103653CA" w:tentative="1">
      <w:start w:val="1"/>
      <w:numFmt w:val="bullet"/>
      <w:lvlText w:val="•"/>
      <w:lvlJc w:val="left"/>
      <w:pPr>
        <w:tabs>
          <w:tab w:val="num" w:pos="1440"/>
        </w:tabs>
        <w:ind w:left="1440" w:hanging="360"/>
      </w:pPr>
      <w:rPr>
        <w:rFonts w:ascii="Arial" w:hAnsi="Arial" w:hint="default"/>
      </w:rPr>
    </w:lvl>
    <w:lvl w:ilvl="2" w:tplc="E08A98DE" w:tentative="1">
      <w:start w:val="1"/>
      <w:numFmt w:val="bullet"/>
      <w:lvlText w:val="•"/>
      <w:lvlJc w:val="left"/>
      <w:pPr>
        <w:tabs>
          <w:tab w:val="num" w:pos="2160"/>
        </w:tabs>
        <w:ind w:left="2160" w:hanging="360"/>
      </w:pPr>
      <w:rPr>
        <w:rFonts w:ascii="Arial" w:hAnsi="Arial" w:hint="default"/>
      </w:rPr>
    </w:lvl>
    <w:lvl w:ilvl="3" w:tplc="12E2EA66" w:tentative="1">
      <w:start w:val="1"/>
      <w:numFmt w:val="bullet"/>
      <w:lvlText w:val="•"/>
      <w:lvlJc w:val="left"/>
      <w:pPr>
        <w:tabs>
          <w:tab w:val="num" w:pos="2880"/>
        </w:tabs>
        <w:ind w:left="2880" w:hanging="360"/>
      </w:pPr>
      <w:rPr>
        <w:rFonts w:ascii="Arial" w:hAnsi="Arial" w:hint="default"/>
      </w:rPr>
    </w:lvl>
    <w:lvl w:ilvl="4" w:tplc="E312B814" w:tentative="1">
      <w:start w:val="1"/>
      <w:numFmt w:val="bullet"/>
      <w:lvlText w:val="•"/>
      <w:lvlJc w:val="left"/>
      <w:pPr>
        <w:tabs>
          <w:tab w:val="num" w:pos="3600"/>
        </w:tabs>
        <w:ind w:left="3600" w:hanging="360"/>
      </w:pPr>
      <w:rPr>
        <w:rFonts w:ascii="Arial" w:hAnsi="Arial" w:hint="default"/>
      </w:rPr>
    </w:lvl>
    <w:lvl w:ilvl="5" w:tplc="6B4A8A98" w:tentative="1">
      <w:start w:val="1"/>
      <w:numFmt w:val="bullet"/>
      <w:lvlText w:val="•"/>
      <w:lvlJc w:val="left"/>
      <w:pPr>
        <w:tabs>
          <w:tab w:val="num" w:pos="4320"/>
        </w:tabs>
        <w:ind w:left="4320" w:hanging="360"/>
      </w:pPr>
      <w:rPr>
        <w:rFonts w:ascii="Arial" w:hAnsi="Arial" w:hint="default"/>
      </w:rPr>
    </w:lvl>
    <w:lvl w:ilvl="6" w:tplc="715093CA" w:tentative="1">
      <w:start w:val="1"/>
      <w:numFmt w:val="bullet"/>
      <w:lvlText w:val="•"/>
      <w:lvlJc w:val="left"/>
      <w:pPr>
        <w:tabs>
          <w:tab w:val="num" w:pos="5040"/>
        </w:tabs>
        <w:ind w:left="5040" w:hanging="360"/>
      </w:pPr>
      <w:rPr>
        <w:rFonts w:ascii="Arial" w:hAnsi="Arial" w:hint="default"/>
      </w:rPr>
    </w:lvl>
    <w:lvl w:ilvl="7" w:tplc="152ED254" w:tentative="1">
      <w:start w:val="1"/>
      <w:numFmt w:val="bullet"/>
      <w:lvlText w:val="•"/>
      <w:lvlJc w:val="left"/>
      <w:pPr>
        <w:tabs>
          <w:tab w:val="num" w:pos="5760"/>
        </w:tabs>
        <w:ind w:left="5760" w:hanging="360"/>
      </w:pPr>
      <w:rPr>
        <w:rFonts w:ascii="Arial" w:hAnsi="Arial" w:hint="default"/>
      </w:rPr>
    </w:lvl>
    <w:lvl w:ilvl="8" w:tplc="6CBE367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CB"/>
    <w:rsid w:val="002B433A"/>
    <w:rsid w:val="008746D8"/>
    <w:rsid w:val="00F606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95874-7772-48BC-94D1-D0E8892B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606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55416">
      <w:bodyDiv w:val="1"/>
      <w:marLeft w:val="0"/>
      <w:marRight w:val="0"/>
      <w:marTop w:val="0"/>
      <w:marBottom w:val="0"/>
      <w:divBdr>
        <w:top w:val="none" w:sz="0" w:space="0" w:color="auto"/>
        <w:left w:val="none" w:sz="0" w:space="0" w:color="auto"/>
        <w:bottom w:val="none" w:sz="0" w:space="0" w:color="auto"/>
        <w:right w:val="none" w:sz="0" w:space="0" w:color="auto"/>
      </w:divBdr>
      <w:divsChild>
        <w:div w:id="1040977085">
          <w:marLeft w:val="360"/>
          <w:marRight w:val="0"/>
          <w:marTop w:val="200"/>
          <w:marBottom w:val="0"/>
          <w:divBdr>
            <w:top w:val="none" w:sz="0" w:space="0" w:color="auto"/>
            <w:left w:val="none" w:sz="0" w:space="0" w:color="auto"/>
            <w:bottom w:val="none" w:sz="0" w:space="0" w:color="auto"/>
            <w:right w:val="none" w:sz="0" w:space="0" w:color="auto"/>
          </w:divBdr>
        </w:div>
        <w:div w:id="5140800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416</Words>
  <Characters>2288</Characters>
  <Application>Microsoft Office Word</Application>
  <DocSecurity>0</DocSecurity>
  <Lines>19</Lines>
  <Paragraphs>5</Paragraphs>
  <ScaleCrop>false</ScaleCrop>
  <Company>CHRU Montpellier</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BISTOQUET MARIE</dc:creator>
  <cp:keywords/>
  <dc:description/>
  <cp:lastModifiedBy>BISTOQUET MARIE</cp:lastModifiedBy>
  <cp:revision>1</cp:revision>
  <dcterms:created xsi:type="dcterms:W3CDTF">2019-06-13T11:49:00Z</dcterms:created>
  <dcterms:modified xsi:type="dcterms:W3CDTF">2019-06-13T11:55:00Z</dcterms:modified>
</cp:coreProperties>
</file>